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90" w:lineRule="exact"/>
        <w:rPr>
          <w:rFonts w:hint="eastAsia" w:ascii="黑体" w:hAnsi="黑体" w:eastAsia="黑体" w:cs="黑体"/>
          <w:kern w:val="0"/>
          <w:sz w:val="30"/>
          <w:szCs w:val="30"/>
          <w:highlight w:val="none"/>
          <w:u w:val="none"/>
          <w:lang w:val="en-US" w:eastAsia="zh-CN" w:bidi="ar-SA"/>
        </w:rPr>
      </w:pPr>
      <w:r>
        <w:rPr>
          <w:rFonts w:hint="eastAsia" w:ascii="黑体" w:hAnsi="黑体" w:eastAsia="黑体" w:cs="黑体"/>
          <w:kern w:val="0"/>
          <w:sz w:val="30"/>
          <w:szCs w:val="30"/>
          <w:highlight w:val="none"/>
          <w:u w:val="none"/>
          <w:lang w:val="en-US" w:eastAsia="zh-CN" w:bidi="ar-SA"/>
        </w:rPr>
        <w:t>附件1</w:t>
      </w:r>
    </w:p>
    <w:p>
      <w:pPr>
        <w:pStyle w:val="7"/>
        <w:keepNext w:val="0"/>
        <w:keepLines w:val="0"/>
        <w:pageBreakBefore w:val="0"/>
        <w:kinsoku/>
        <w:wordWrap/>
        <w:overflowPunct/>
        <w:topLinePunct w:val="0"/>
        <w:autoSpaceDE/>
        <w:autoSpaceDN/>
        <w:bidi w:val="0"/>
        <w:spacing w:after="0" w:line="590" w:lineRule="exact"/>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after="0" w:line="59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科技计划项目资金预算编制说明</w:t>
      </w:r>
    </w:p>
    <w:bookmarkEnd w:id="0"/>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一、直接费用。是指在项目实施过程中发生的与之直接相关的费用。主要包括：设备费、业务费、劳务费三大类。</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（一）设备费：是指在项目实施过程中购置或试制专用仪器设备，对现有仪器设备进行升级改造，以及租赁外单位仪器设备而发生的费用。计算</w:t>
      </w:r>
      <w:r>
        <w:rPr>
          <w:rFonts w:hint="eastAsia" w:ascii="仿宋_GB2312" w:hAnsi="仿宋_GB2312" w:eastAsia="仿宋_GB2312" w:cs="仿宋_GB2312"/>
          <w:color w:val="auto"/>
          <w:sz w:val="30"/>
          <w:szCs w:val="30"/>
          <w:highlight w:val="none"/>
          <w:lang w:val="en-US" w:eastAsia="zh-CN"/>
        </w:rPr>
        <w:t>类</w:t>
      </w:r>
      <w:r>
        <w:rPr>
          <w:rFonts w:hint="eastAsia" w:ascii="仿宋_GB2312" w:hAnsi="仿宋_GB2312" w:eastAsia="仿宋_GB2312" w:cs="仿宋_GB2312"/>
          <w:color w:val="auto"/>
          <w:sz w:val="30"/>
          <w:szCs w:val="30"/>
          <w:highlight w:val="none"/>
        </w:rPr>
        <w:t>仪器设备和软件工具可在设备费科目列支。</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（二）业务费：是指在项目实施过程发生的材料费、燃料动力费、测试化验加工费、差旅费/会议费/国际合作交流费、</w:t>
      </w:r>
      <w:r>
        <w:rPr>
          <w:rFonts w:hint="eastAsia" w:ascii="仿宋_GB2312" w:hAnsi="仿宋_GB2312" w:eastAsia="仿宋_GB2312" w:cs="仿宋_GB2312"/>
          <w:color w:val="auto"/>
          <w:sz w:val="30"/>
          <w:szCs w:val="30"/>
          <w:highlight w:val="none"/>
          <w:lang w:eastAsia="zh-CN"/>
        </w:rPr>
        <w:t>档案</w:t>
      </w:r>
      <w:r>
        <w:rPr>
          <w:rFonts w:hint="eastAsia" w:ascii="仿宋_GB2312" w:hAnsi="仿宋_GB2312" w:eastAsia="仿宋_GB2312" w:cs="仿宋_GB2312"/>
          <w:color w:val="auto"/>
          <w:sz w:val="30"/>
          <w:szCs w:val="30"/>
          <w:highlight w:val="none"/>
        </w:rPr>
        <w:t>/出版/文献/信息传播/知识产权事务费及其他相关支出。</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1.材料费。指在项目研究开发过程中消耗的各种原材料、辅助材料、低值易耗品的采购及发生的运输、装卸、整理等费用。</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2.燃料动力费。指在项目研究开发过程中</w:t>
      </w:r>
      <w:r>
        <w:rPr>
          <w:rFonts w:hint="eastAsia" w:ascii="仿宋_GB2312" w:hAnsi="仿宋_GB2312" w:eastAsia="仿宋_GB2312" w:cs="仿宋_GB2312"/>
          <w:color w:val="auto"/>
          <w:sz w:val="30"/>
          <w:szCs w:val="30"/>
          <w:highlight w:val="none"/>
          <w:lang w:val="en-US" w:eastAsia="zh-CN"/>
        </w:rPr>
        <w:t>与项目直接</w:t>
      </w:r>
      <w:r>
        <w:rPr>
          <w:rFonts w:hint="eastAsia" w:ascii="仿宋_GB2312" w:hAnsi="仿宋_GB2312" w:eastAsia="仿宋_GB2312" w:cs="仿宋_GB2312"/>
          <w:color w:val="auto"/>
          <w:sz w:val="30"/>
          <w:szCs w:val="30"/>
          <w:highlight w:val="none"/>
        </w:rPr>
        <w:t>相关</w:t>
      </w:r>
      <w:r>
        <w:rPr>
          <w:rFonts w:hint="eastAsia" w:ascii="仿宋_GB2312" w:hAnsi="仿宋_GB2312" w:eastAsia="仿宋_GB2312" w:cs="仿宋_GB2312"/>
          <w:color w:val="auto"/>
          <w:sz w:val="30"/>
          <w:szCs w:val="30"/>
          <w:highlight w:val="none"/>
          <w:lang w:val="en-US" w:eastAsia="zh-CN"/>
        </w:rPr>
        <w:t>的</w:t>
      </w:r>
      <w:r>
        <w:rPr>
          <w:rFonts w:hint="eastAsia" w:ascii="仿宋_GB2312" w:hAnsi="仿宋_GB2312" w:eastAsia="仿宋_GB2312" w:cs="仿宋_GB2312"/>
          <w:color w:val="auto"/>
          <w:sz w:val="30"/>
          <w:szCs w:val="30"/>
          <w:highlight w:val="none"/>
        </w:rPr>
        <w:t>仪器设备、专用科学装置等运行发生的水、电、气、燃料消耗等费用。</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3.测试化验加工费。</w:t>
      </w:r>
      <w:r>
        <w:rPr>
          <w:rFonts w:ascii="仿宋_GB2312" w:hAnsi="仿宋_GB2312" w:eastAsia="仿宋_GB2312" w:cs="仿宋_GB2312"/>
          <w:color w:val="auto"/>
          <w:sz w:val="30"/>
          <w:szCs w:val="30"/>
          <w:highlight w:val="none"/>
        </w:rPr>
        <w:t>测试化验加工支出主要用于由于</w:t>
      </w:r>
      <w:r>
        <w:rPr>
          <w:rFonts w:hint="eastAsia" w:ascii="仿宋_GB2312" w:hAnsi="仿宋_GB2312" w:eastAsia="仿宋_GB2312" w:cs="仿宋_GB2312"/>
          <w:color w:val="auto"/>
          <w:sz w:val="30"/>
          <w:szCs w:val="30"/>
          <w:highlight w:val="none"/>
          <w:lang w:eastAsia="zh-CN"/>
        </w:rPr>
        <w:t>项目承担单位</w:t>
      </w:r>
      <w:r>
        <w:rPr>
          <w:rFonts w:ascii="仿宋_GB2312" w:hAnsi="仿宋_GB2312" w:eastAsia="仿宋_GB2312" w:cs="仿宋_GB2312"/>
          <w:color w:val="auto"/>
          <w:sz w:val="30"/>
          <w:szCs w:val="30"/>
          <w:highlight w:val="none"/>
        </w:rPr>
        <w:t>自身的技术、工艺和设备等条件的限制，在项目实施过程中委托或与外单位合作（包括</w:t>
      </w:r>
      <w:r>
        <w:rPr>
          <w:rFonts w:hint="eastAsia" w:ascii="仿宋_GB2312" w:hAnsi="仿宋_GB2312" w:eastAsia="仿宋_GB2312" w:cs="仿宋_GB2312"/>
          <w:color w:val="auto"/>
          <w:sz w:val="30"/>
          <w:szCs w:val="30"/>
          <w:highlight w:val="none"/>
          <w:lang w:eastAsia="zh-CN"/>
        </w:rPr>
        <w:t>项目承担单位</w:t>
      </w:r>
      <w:r>
        <w:rPr>
          <w:rFonts w:ascii="仿宋_GB2312" w:hAnsi="仿宋_GB2312" w:eastAsia="仿宋_GB2312" w:cs="仿宋_GB2312"/>
          <w:color w:val="auto"/>
          <w:sz w:val="30"/>
          <w:szCs w:val="30"/>
          <w:highlight w:val="none"/>
        </w:rPr>
        <w:t>内部独立经济核算单位）进行的检验、测试、化验、加工、计算、试验、设计、制作等所支付的费用。</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4.差旅费/会议费/国际合作交流费。由科研人员结合科研活动实际需要编制预算并按规定统筹安排使用。</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差旅费。指在项目实施过程中开展科学实验（试验）、科学考察、业务调研、学术交流等所发生的城市间交通费、住宿费、伙食补助费和市内交通费。对国内差旅费中的伙食补助费、市内交通费和难以取得发票的住宿费可实行包干</w:t>
      </w:r>
      <w:r>
        <w:rPr>
          <w:rFonts w:hint="eastAsia" w:ascii="仿宋_GB2312" w:hAnsi="仿宋_GB2312" w:eastAsia="仿宋_GB2312" w:cs="仿宋_GB2312"/>
          <w:color w:val="auto"/>
          <w:sz w:val="30"/>
          <w:szCs w:val="30"/>
          <w:highlight w:val="none"/>
          <w:lang w:eastAsia="zh-CN"/>
        </w:rPr>
        <w:t>报销</w:t>
      </w:r>
      <w:r>
        <w:rPr>
          <w:rFonts w:hint="eastAsia" w:ascii="仿宋_GB2312" w:hAnsi="仿宋_GB2312" w:eastAsia="仿宋_GB2312" w:cs="仿宋_GB2312"/>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会议费。指在项目实施过程中为组织开展学术研讨、咨询论证，以及组织协调项目等活动而发生的会议费用。科研业务会议（如学术会议、研讨会、评审会、座谈会、答辩会等）的次数、天数、人数以及会议费开支范围、标准等，由</w:t>
      </w:r>
      <w:r>
        <w:rPr>
          <w:rFonts w:hint="eastAsia" w:ascii="仿宋_GB2312" w:hAnsi="仿宋_GB2312" w:eastAsia="仿宋_GB2312" w:cs="仿宋_GB2312"/>
          <w:color w:val="auto"/>
          <w:sz w:val="30"/>
          <w:szCs w:val="30"/>
          <w:highlight w:val="none"/>
          <w:lang w:eastAsia="zh-CN"/>
        </w:rPr>
        <w:t>项目承担单位</w:t>
      </w:r>
      <w:r>
        <w:rPr>
          <w:rFonts w:hint="eastAsia" w:ascii="仿宋_GB2312" w:hAnsi="仿宋_GB2312" w:eastAsia="仿宋_GB2312" w:cs="仿宋_GB2312"/>
          <w:color w:val="auto"/>
          <w:sz w:val="30"/>
          <w:szCs w:val="30"/>
          <w:highlight w:val="none"/>
        </w:rPr>
        <w:t>自主确定。因工作需要，邀请国内外专家、学者和有关人员参加会议，对确需负担的城市间交通费、国际旅费，可由主办单位在会议费等费用中预算。</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国际合作交流费。指在项目研究开发过程中，项目组研究人员出国开展科学技术交流及外国专家来华工作发生的费用。对科研人员因公出国（境）开展国际合作交流的管理应与行政人员有所区别，对为完成项目任务目标、从科研</w:t>
      </w:r>
      <w:r>
        <w:rPr>
          <w:rFonts w:hint="eastAsia" w:ascii="仿宋_GB2312" w:hAnsi="仿宋_GB2312" w:eastAsia="仿宋_GB2312" w:cs="仿宋_GB2312"/>
          <w:color w:val="auto"/>
          <w:sz w:val="30"/>
          <w:szCs w:val="30"/>
          <w:highlight w:val="none"/>
          <w:lang w:eastAsia="zh-CN"/>
        </w:rPr>
        <w:t>资金</w:t>
      </w:r>
      <w:r>
        <w:rPr>
          <w:rFonts w:hint="eastAsia" w:ascii="仿宋_GB2312" w:hAnsi="仿宋_GB2312" w:eastAsia="仿宋_GB2312" w:cs="仿宋_GB2312"/>
          <w:color w:val="auto"/>
          <w:sz w:val="30"/>
          <w:szCs w:val="30"/>
          <w:highlight w:val="none"/>
        </w:rPr>
        <w:t>中列支费用的国际合作与交流按业务类别单独管理。</w:t>
      </w:r>
    </w:p>
    <w:p>
      <w:pPr>
        <w:pStyle w:val="2"/>
        <w:keepNext w:val="0"/>
        <w:keepLines w:val="0"/>
        <w:pageBreakBefore w:val="0"/>
        <w:kinsoku/>
        <w:wordWrap/>
        <w:overflowPunct/>
        <w:topLinePunct w:val="0"/>
        <w:autoSpaceDE/>
        <w:autoSpaceDN/>
        <w:bidi w:val="0"/>
        <w:spacing w:line="610" w:lineRule="exact"/>
        <w:ind w:left="0" w:leftChars="0" w:firstLine="600" w:firstLineChars="200"/>
        <w:textAlignment w:val="auto"/>
        <w:rPr>
          <w:rFonts w:hint="eastAsia"/>
          <w:sz w:val="30"/>
          <w:szCs w:val="30"/>
        </w:rPr>
      </w:pPr>
      <w:r>
        <w:rPr>
          <w:rFonts w:hint="eastAsia" w:ascii="仿宋_GB2312" w:hAnsi="仿宋_GB2312" w:eastAsia="仿宋_GB2312" w:cs="仿宋_GB2312"/>
          <w:color w:val="auto"/>
          <w:sz w:val="30"/>
          <w:szCs w:val="30"/>
          <w:highlight w:val="none"/>
          <w:lang w:eastAsia="zh-CN"/>
        </w:rPr>
        <w:t>项目承担单位</w:t>
      </w:r>
      <w:r>
        <w:rPr>
          <w:rFonts w:hint="eastAsia" w:ascii="仿宋_GB2312" w:hAnsi="仿宋_GB2312" w:eastAsia="仿宋_GB2312" w:cs="仿宋_GB2312"/>
          <w:color w:val="auto"/>
          <w:sz w:val="30"/>
          <w:szCs w:val="30"/>
          <w:highlight w:val="none"/>
        </w:rPr>
        <w:t>应按照实事求是、精简高效、厉行节约的原则，参照云南省省级机关差旅费、会议费、因公临时出国经费、在华举办国际会议经费、科研人员因公出国</w:t>
      </w:r>
      <w:r>
        <w:rPr>
          <w:rFonts w:hint="eastAsia" w:ascii="仿宋_GB2312" w:hAnsi="仿宋_GB2312" w:eastAsia="仿宋_GB2312" w:cs="仿宋_GB2312"/>
          <w:color w:val="auto"/>
          <w:sz w:val="30"/>
          <w:szCs w:val="30"/>
          <w:highlight w:val="none"/>
          <w:lang w:eastAsia="zh-CN"/>
        </w:rPr>
        <w:t>（境）</w:t>
      </w:r>
      <w:r>
        <w:rPr>
          <w:rFonts w:hint="eastAsia" w:ascii="仿宋_GB2312" w:hAnsi="仿宋_GB2312" w:eastAsia="仿宋_GB2312" w:cs="仿宋_GB2312"/>
          <w:color w:val="auto"/>
          <w:sz w:val="30"/>
          <w:szCs w:val="30"/>
          <w:highlight w:val="none"/>
        </w:rPr>
        <w:t>等制度，结合科研工作实际自行制定差旅费、会议费和国际合作交流费管理办法，合理确定科研人员乘坐交通工具等级和住宿费标准。</w:t>
      </w:r>
      <w:r>
        <w:rPr>
          <w:rFonts w:hint="eastAsia" w:ascii="仿宋_GB2312" w:hAnsi="仿宋_GB2312" w:eastAsia="仿宋_GB2312" w:cs="仿宋_GB2312"/>
          <w:color w:val="auto"/>
          <w:sz w:val="30"/>
          <w:szCs w:val="30"/>
          <w:highlight w:val="none"/>
          <w:lang w:eastAsia="zh-CN"/>
        </w:rPr>
        <w:t>项目承担单位</w:t>
      </w:r>
      <w:r>
        <w:rPr>
          <w:rFonts w:hint="eastAsia" w:ascii="仿宋_GB2312" w:hAnsi="仿宋_GB2312" w:eastAsia="仿宋_GB2312" w:cs="仿宋_GB2312"/>
          <w:color w:val="auto"/>
          <w:sz w:val="30"/>
          <w:szCs w:val="30"/>
          <w:highlight w:val="none"/>
        </w:rPr>
        <w:t>制订的管理办法向单位主管部门报备后，可作为审计、财务评审或检查的依据。</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10" w:lineRule="exact"/>
        <w:ind w:firstLine="600" w:firstLineChars="200"/>
        <w:jc w:val="both"/>
        <w:textAlignment w:val="auto"/>
        <w:rPr>
          <w:rFonts w:hint="default" w:ascii="仿宋_GB2312" w:hAnsi="仿宋_GB2312" w:eastAsia="仿宋_GB2312" w:cs="仿宋_GB2312"/>
          <w:color w:val="auto"/>
          <w:kern w:val="2"/>
          <w:sz w:val="30"/>
          <w:szCs w:val="30"/>
          <w:highlight w:val="none"/>
          <w:lang w:val="en-US" w:eastAsia="zh-CN"/>
        </w:rPr>
      </w:pPr>
      <w:r>
        <w:rPr>
          <w:rFonts w:ascii="仿宋_GB2312" w:hAnsi="仿宋_GB2312" w:eastAsia="仿宋_GB2312" w:cs="仿宋_GB2312"/>
          <w:color w:val="auto"/>
          <w:kern w:val="2"/>
          <w:sz w:val="30"/>
          <w:szCs w:val="30"/>
          <w:highlight w:val="none"/>
        </w:rPr>
        <w:t>5.档案/出版/文献/信息传播/知识产权事务支出主要用于在项目实施过程中，需要支付的</w:t>
      </w:r>
      <w:r>
        <w:rPr>
          <w:rFonts w:hint="eastAsia" w:ascii="仿宋_GB2312" w:hAnsi="仿宋_GB2312" w:eastAsia="仿宋_GB2312" w:cs="仿宋_GB2312"/>
          <w:color w:val="auto"/>
          <w:kern w:val="2"/>
          <w:sz w:val="30"/>
          <w:szCs w:val="30"/>
          <w:highlight w:val="none"/>
          <w:lang w:val="en-US" w:eastAsia="zh-CN"/>
        </w:rPr>
        <w:t>档案整理、</w:t>
      </w:r>
      <w:r>
        <w:rPr>
          <w:rFonts w:ascii="仿宋_GB2312" w:hAnsi="仿宋_GB2312" w:eastAsia="仿宋_GB2312" w:cs="仿宋_GB2312"/>
          <w:color w:val="auto"/>
          <w:kern w:val="2"/>
          <w:sz w:val="30"/>
          <w:szCs w:val="30"/>
          <w:highlight w:val="none"/>
        </w:rPr>
        <w:t>出版、资料购买及印刷、文献检索、专业通信、专利申请及其他知识产权事务等费用。</w:t>
      </w:r>
      <w:r>
        <w:rPr>
          <w:rFonts w:hint="eastAsia" w:ascii="仿宋_GB2312" w:hAnsi="仿宋_GB2312" w:eastAsia="仿宋_GB2312" w:cs="仿宋_GB2312"/>
          <w:color w:val="auto"/>
          <w:kern w:val="2"/>
          <w:sz w:val="30"/>
          <w:szCs w:val="30"/>
          <w:highlight w:val="none"/>
          <w:lang w:val="en-US" w:eastAsia="zh-CN"/>
        </w:rPr>
        <w:t>落实中央关于破除科技评价“唯论文”不良导向要求，不得列支在学术期刊“黑名单”或预警名单上发表论文的支出。</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其他相关支出。指除上述费用之外的其它支出，在申请预算时单独列示，详细说明，单独核定。重大项目实施确实需要安排科研基础设施建设费的，可在该科目中编列。项目实施过程中发生的审计费用等可在该科目中列支。其他</w:t>
      </w:r>
      <w:r>
        <w:rPr>
          <w:rFonts w:hint="eastAsia" w:ascii="仿宋_GB2312" w:hAnsi="仿宋_GB2312" w:eastAsia="仿宋_GB2312" w:cs="仿宋_GB2312"/>
          <w:color w:val="auto"/>
          <w:sz w:val="30"/>
          <w:szCs w:val="30"/>
          <w:highlight w:val="none"/>
          <w:lang w:eastAsia="zh-CN"/>
        </w:rPr>
        <w:t>相关</w:t>
      </w:r>
      <w:r>
        <w:rPr>
          <w:rFonts w:hint="eastAsia" w:ascii="仿宋_GB2312" w:hAnsi="仿宋_GB2312" w:eastAsia="仿宋_GB2312" w:cs="仿宋_GB2312"/>
          <w:color w:val="auto"/>
          <w:sz w:val="30"/>
          <w:szCs w:val="30"/>
          <w:highlight w:val="none"/>
        </w:rPr>
        <w:t>支出预算比例原则上不得超过该项目预算总额的10%。</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（三）劳务费：是指在项目实施过程中支付给参与项目的研究生、博士后、访问学者和项目聘用的研究人员、科研辅助人员等的劳务性费用；以及支付给临时聘请的咨询专家的费用等。</w:t>
      </w:r>
    </w:p>
    <w:p>
      <w:pPr>
        <w:pStyle w:val="7"/>
        <w:keepNext w:val="0"/>
        <w:keepLines w:val="0"/>
        <w:pageBreakBefore w:val="0"/>
        <w:widowControl/>
        <w:kinsoku/>
        <w:wordWrap/>
        <w:overflowPunct/>
        <w:topLinePunct w:val="0"/>
        <w:autoSpaceDE/>
        <w:autoSpaceDN/>
        <w:bidi w:val="0"/>
        <w:adjustRightInd w:val="0"/>
        <w:snapToGrid w:val="0"/>
        <w:spacing w:after="0" w:line="610" w:lineRule="exact"/>
        <w:ind w:left="0" w:firstLine="600" w:firstLineChars="200"/>
        <w:textAlignment w:val="auto"/>
        <w:rPr>
          <w:rFonts w:ascii="仿宋_GB2312" w:hAnsi="仿宋_GB2312" w:eastAsia="仿宋_GB2312" w:cs="仿宋_GB2312"/>
          <w:color w:val="auto"/>
          <w:spacing w:val="0"/>
          <w:sz w:val="30"/>
          <w:szCs w:val="30"/>
          <w:highlight w:val="none"/>
          <w:lang w:eastAsia="zh-CN"/>
        </w:rPr>
      </w:pPr>
      <w:r>
        <w:rPr>
          <w:rFonts w:hint="eastAsia" w:ascii="仿宋_GB2312" w:hAnsi="仿宋_GB2312" w:eastAsia="仿宋_GB2312" w:cs="仿宋_GB2312"/>
          <w:color w:val="auto"/>
          <w:spacing w:val="0"/>
          <w:sz w:val="30"/>
          <w:szCs w:val="30"/>
          <w:highlight w:val="none"/>
          <w:lang w:eastAsia="zh-CN"/>
        </w:rPr>
        <w:t>1.项目聘用人员劳务费开支标准参照本单位同类在职人员薪酬水平自主确定，</w:t>
      </w:r>
      <w:r>
        <w:rPr>
          <w:rFonts w:hint="eastAsia" w:ascii="仿宋_GB2312" w:hAnsi="仿宋_GB2312" w:cs="仿宋_GB2312"/>
          <w:color w:val="auto"/>
          <w:spacing w:val="0"/>
          <w:sz w:val="30"/>
          <w:szCs w:val="30"/>
          <w:highlight w:val="none"/>
          <w:lang w:eastAsia="zh-CN"/>
        </w:rPr>
        <w:t>其</w:t>
      </w:r>
      <w:r>
        <w:rPr>
          <w:rFonts w:hint="eastAsia" w:ascii="仿宋_GB2312" w:hAnsi="仿宋_GB2312" w:eastAsia="仿宋_GB2312" w:cs="仿宋_GB2312"/>
          <w:color w:val="auto"/>
          <w:spacing w:val="0"/>
          <w:sz w:val="30"/>
          <w:szCs w:val="30"/>
          <w:highlight w:val="none"/>
          <w:lang w:eastAsia="zh-CN"/>
        </w:rPr>
        <w:t>由单位承担的社会保险、住房公积金、职业年金纳入劳务费科目列支。编制外聘用高层次人才实施项目工资制、年薪制及科研财务助理所需费用在劳务费中列支。</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2.专家咨询费是指在项目研究开发过程中支付给临时聘请的咨询、论证及绩效评价等专家的费用。参与本项目研究和管理的相关工作人员不得领取专家咨询费。发放标准：</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会议形式（含网络视频会议）专家咨询费标准：高级专业技术职称人员的专家咨询费标准为1500—2400元/人/天（税后）；其他专业人员的专家咨询费标准为900元/人/天（税后）；院士、全国知名专家，可按照高级专业技术职称人员的专家咨询费标准上浮50%。</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（2）现场访谈或者勘察形式专家咨询费标准：除按照会议形式咨询的标准发放专家咨询费外，同时可按照相关规定报销差旅费。</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（3）通讯形式（信</w:t>
      </w:r>
      <w:r>
        <w:rPr>
          <w:rFonts w:hint="eastAsia" w:ascii="仿宋_GB2312" w:hAnsi="仿宋_GB2312" w:eastAsia="仿宋_GB2312" w:cs="仿宋_GB2312"/>
          <w:color w:val="auto"/>
          <w:sz w:val="30"/>
          <w:szCs w:val="30"/>
          <w:highlight w:val="none"/>
          <w:lang w:eastAsia="zh-CN"/>
        </w:rPr>
        <w:t>函</w:t>
      </w:r>
      <w:r>
        <w:rPr>
          <w:rFonts w:hint="eastAsia" w:ascii="仿宋_GB2312" w:hAnsi="仿宋_GB2312" w:eastAsia="仿宋_GB2312" w:cs="仿宋_GB2312"/>
          <w:color w:val="auto"/>
          <w:sz w:val="30"/>
          <w:szCs w:val="30"/>
          <w:highlight w:val="none"/>
        </w:rPr>
        <w:t>、邮件）专家咨询费标准：高级专业技术职称人员一般每人次/每项不超过200元（税后），其他专业人员一般每人次/每项不超过150元（税后）。</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（4）网络形式（系统中）专家咨询费标准：高级专业技术职称人员一般每人次/每项不超过300元（税后），其他专业人员一般每人次/每项不超过200元（税后）。</w:t>
      </w:r>
    </w:p>
    <w:p>
      <w:pPr>
        <w:keepNext w:val="0"/>
        <w:keepLines w:val="0"/>
        <w:pageBreakBefore w:val="0"/>
        <w:widowControl/>
        <w:kinsoku/>
        <w:wordWrap/>
        <w:overflowPunct/>
        <w:topLinePunct w:val="0"/>
        <w:autoSpaceDE/>
        <w:autoSpaceDN/>
        <w:bidi w:val="0"/>
        <w:adjustRightInd w:val="0"/>
        <w:snapToGrid w:val="0"/>
        <w:spacing w:after="0" w:line="61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二、间接费用。是指</w:t>
      </w:r>
      <w:r>
        <w:rPr>
          <w:rFonts w:hint="eastAsia" w:ascii="仿宋_GB2312" w:hAnsi="仿宋_GB2312" w:eastAsia="仿宋_GB2312" w:cs="仿宋_GB2312"/>
          <w:color w:val="auto"/>
          <w:sz w:val="30"/>
          <w:szCs w:val="30"/>
          <w:highlight w:val="none"/>
          <w:lang w:eastAsia="zh-CN"/>
        </w:rPr>
        <w:t>项目承担单位</w:t>
      </w:r>
      <w:r>
        <w:rPr>
          <w:rFonts w:hint="eastAsia" w:ascii="仿宋_GB2312" w:hAnsi="仿宋_GB2312" w:eastAsia="仿宋_GB2312" w:cs="仿宋_GB2312"/>
          <w:color w:val="auto"/>
          <w:sz w:val="30"/>
          <w:szCs w:val="30"/>
          <w:highlight w:val="none"/>
        </w:rPr>
        <w:t>在组织实施项目过程中发生的无法在直接费用中列支的相关费用。主要包括：</w:t>
      </w:r>
      <w:r>
        <w:rPr>
          <w:rFonts w:hint="eastAsia" w:ascii="仿宋_GB2312" w:hAnsi="仿宋_GB2312" w:eastAsia="仿宋_GB2312" w:cs="仿宋_GB2312"/>
          <w:color w:val="auto"/>
          <w:sz w:val="30"/>
          <w:szCs w:val="30"/>
          <w:highlight w:val="none"/>
          <w:lang w:eastAsia="zh-CN"/>
        </w:rPr>
        <w:t>项目承担单位</w:t>
      </w:r>
      <w:r>
        <w:rPr>
          <w:rFonts w:hint="eastAsia" w:ascii="仿宋_GB2312" w:hAnsi="仿宋_GB2312" w:eastAsia="仿宋_GB2312" w:cs="仿宋_GB2312"/>
          <w:color w:val="auto"/>
          <w:sz w:val="30"/>
          <w:szCs w:val="30"/>
          <w:highlight w:val="none"/>
        </w:rPr>
        <w:t>为项目研究提供的房屋占用，日常水、电、气、暖消耗，有关管理费用的补助支出，以及激励科研人员、科研财务助理的绩效支出等</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间接费用可全部用于绩效支出。</w:t>
      </w:r>
      <w:r>
        <w:rPr>
          <w:rFonts w:hint="eastAsia" w:ascii="仿宋_GB2312" w:hAnsi="仿宋_GB2312" w:eastAsia="仿宋_GB2312" w:cs="仿宋_GB2312"/>
          <w:color w:val="auto"/>
          <w:spacing w:val="0"/>
          <w:sz w:val="30"/>
          <w:szCs w:val="30"/>
          <w:highlight w:val="none"/>
          <w:lang w:eastAsia="zh-CN"/>
        </w:rPr>
        <w:t>项目承担单位不得在核定的间接费用以外，再以任何名义在项目资金中重复提取、列支相关费用。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60B38"/>
    <w:rsid w:val="3EB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首行缩进 21"/>
    <w:basedOn w:val="8"/>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8">
    <w:name w:val="正文文本缩进1"/>
    <w:basedOn w:val="1"/>
    <w:qFormat/>
    <w:uiPriority w:val="0"/>
    <w:pPr>
      <w:suppressAutoHyphens/>
      <w:bidi w:val="0"/>
      <w:adjustRightInd w:val="0"/>
      <w:snapToGrid w:val="0"/>
      <w:spacing w:after="0" w:line="360" w:lineRule="auto"/>
      <w:ind w:left="1680" w:hanging="990" w:firstLineChars="200"/>
    </w:pPr>
    <w:rPr>
      <w:rFonts w:ascii="仿宋_GB2312" w:hAnsi="Times New Roman" w:eastAsia="仿宋_GB2312" w:cs="仿宋_GB2312"/>
      <w:spacing w:val="-4"/>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2021-12-17T06:48:00Z</dcterms:created>
  <dc:creator>vivi</dc:creator>
  <cp:lastModifiedBy>vivi</cp:lastModifiedBy>
  <dcterms:modified xsi:type="dcterms:W3CDTF">2021-12-17T06:49:20Z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